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left"/>
      </w:pPr>
      <w:r>
        <w:rPr>
          <w:b w:val="false"/>
          <w:bCs w:val="false"/>
          <w:i/>
          <w:iCs/>
          <w:sz w:val="22"/>
          <w:szCs w:val="22"/>
        </w:rPr>
        <w:t xml:space="preserve">Draft Concept,</w:t>
      </w:r>
    </w:p>
    <w:p>
      <w:pPr>
        <w:spacing w:after="260"/>
        <w:jc w:val="left"/>
      </w:pPr>
      <w:r>
        <w:rPr>
          <w:b w:val="false"/>
          <w:bCs w:val="false"/>
          <w:i/>
          <w:iCs/>
          <w:sz w:val="22"/>
          <w:szCs w:val="22"/>
        </w:rPr>
        <w:t xml:space="preserve">as of 08.09.2026</w:t>
      </w:r>
    </w:p>
    <w:p>
      <w:pPr>
        <w:spacing w:after="40"/>
        <w:jc w:val="left"/>
      </w:pPr>
      <w:r>
        <w:rPr>
          <w:b/>
          <w:bCs/>
          <w:i w:val="false"/>
          <w:iCs w:val="false"/>
          <w:sz w:val="30"/>
          <w:szCs w:val="30"/>
        </w:rPr>
        <w:t xml:space="preserve">Regional Concept</w:t>
      </w:r>
    </w:p>
    <w:p>
      <w:pPr>
        <w:spacing w:after="40"/>
        <w:jc w:val="left"/>
      </w:pPr>
      <w:r>
        <w:rPr>
          <w:b/>
          <w:bCs/>
          <w:i w:val="false"/>
          <w:iCs w:val="false"/>
          <w:sz w:val="26"/>
          <w:szCs w:val="26"/>
        </w:rPr>
        <w:t xml:space="preserve">for Increasing the Resilience of Cities of the Central Asian Countries</w:t>
      </w:r>
    </w:p>
    <w:p>
      <w:pPr>
        <w:spacing w:after="160"/>
        <w:jc w:val="left"/>
      </w:pPr>
      <w:r>
        <w:rPr>
          <w:b/>
          <w:bCs/>
          <w:i w:val="false"/>
          <w:iCs w:val="false"/>
          <w:sz w:val="26"/>
          <w:szCs w:val="26"/>
        </w:rPr>
        <w:t xml:space="preserve">to Disaster Risks and Climate Change through 2030</w:t>
      </w:r>
    </w:p>
    <w:p>
      <w:pPr>
        <w:spacing w:after="320"/>
        <w:jc w:val="left"/>
      </w:pPr>
      <w:r>
        <w:rPr>
          <w:b w:val="false"/>
          <w:bCs w:val="false"/>
          <w:i/>
          <w:iCs/>
          <w:sz w:val="22"/>
          <w:szCs w:val="22"/>
        </w:rPr>
        <w:t xml:space="preserve">(hereinafter, the Concept)</w:t>
      </w:r>
    </w:p>
    <w:p>
      <w:pPr>
        <w:spacing w:after="160" w:before="260"/>
      </w:pPr>
      <w:r>
        <w:rPr>
          <w:b/>
          <w:bCs/>
          <w:sz w:val="24"/>
          <w:szCs w:val="24"/>
        </w:rPr>
        <w:t xml:space="preserve">Part 1. Analysis of the Current Situation</w:t>
      </w:r>
    </w:p>
    <w:p>
      <w:pPr>
        <w:spacing w:after="200"/>
        <w:jc w:val="left"/>
      </w:pPr>
      <w:r>
        <w:rPr>
          <w:b w:val="false"/>
          <w:bCs w:val="false"/>
          <w:i w:val="false"/>
          <w:iCs w:val="false"/>
          <w:sz w:val="22"/>
          <w:szCs w:val="22"/>
        </w:rPr>
        <w:t xml:space="preserve">Modern cities of Central Asia are the main centers, the drivers of economic growth; they play a key role in sustainable development and in ensuring a comfortable and safe life for the population, concentrating industry, education, the services sector, financial resources, innovation and human capital.</w:t>
      </w:r>
    </w:p>
    <w:p>
      <w:pPr>
        <w:spacing w:after="200"/>
        <w:jc w:val="left"/>
      </w:pPr>
      <w:r>
        <w:rPr>
          <w:b w:val="false"/>
          <w:bCs w:val="false"/>
          <w:i w:val="false"/>
          <w:iCs w:val="false"/>
          <w:sz w:val="22"/>
          <w:szCs w:val="22"/>
        </w:rPr>
        <w:t xml:space="preserve">Population, economic activity, as well as social, cultural, environmental and other processes, transport, healthcare, education, science and culture institutions, infrastructure, the housing, financial and banking sectors, central government bodies and the main service facilities are increasingly concentrated in cities, all located on relatively small areas of land. This, in turn, gives rise to numerous problems.</w:t>
      </w:r>
    </w:p>
    <w:p>
      <w:pPr>
        <w:spacing w:after="200"/>
        <w:jc w:val="left"/>
      </w:pPr>
      <w:r>
        <w:rPr>
          <w:b w:val="false"/>
          <w:bCs w:val="false"/>
          <w:i w:val="false"/>
          <w:iCs w:val="false"/>
          <w:sz w:val="22"/>
          <w:szCs w:val="22"/>
        </w:rPr>
        <w:t xml:space="preserve">At present, cities in the region are home to an average of about 47 to 50 percent of the total population. According to UN and World Bank forecasts, by 2050 the share of the region's population living in cities is expected to increase to 55 to 60 percent.</w:t>
      </w:r>
    </w:p>
    <w:p>
      <w:pPr>
        <w:spacing w:after="200"/>
        <w:jc w:val="left"/>
      </w:pPr>
      <w:r>
        <w:rPr>
          <w:b w:val="false"/>
          <w:bCs w:val="false"/>
          <w:i w:val="false"/>
          <w:iCs w:val="false"/>
          <w:sz w:val="22"/>
          <w:szCs w:val="22"/>
        </w:rPr>
        <w:t xml:space="preserve">The average population density in Central Asian cities ranges from 2,000 to 7,000 people per square kilometer, with the highest figures typical of the central districts of large cities, where density can exceed 10,000 to 15,000 people per square kilometer.</w:t>
      </w:r>
    </w:p>
    <w:p>
      <w:pPr>
        <w:spacing w:after="200"/>
        <w:jc w:val="left"/>
      </w:pPr>
      <w:r>
        <w:rPr>
          <w:b w:val="false"/>
          <w:bCs w:val="false"/>
          <w:i w:val="false"/>
          <w:iCs w:val="false"/>
          <w:sz w:val="22"/>
          <w:szCs w:val="22"/>
        </w:rPr>
        <w:t xml:space="preserve">Practically all existing and newly built cities in the region are subject to trends of rapid urbanization, a sharp increase in population size and density, and growing pressure on critical infrastructure facilities such as education, healthcare, power supply, water supply, sewerage, transport, communications, food security and other infrastructure systems.</w:t>
      </w:r>
    </w:p>
    <w:p>
      <w:pPr>
        <w:spacing w:after="200"/>
        <w:jc w:val="left"/>
      </w:pPr>
      <w:r>
        <w:rPr>
          <w:b w:val="false"/>
          <w:bCs w:val="false"/>
          <w:i w:val="false"/>
          <w:iCs w:val="false"/>
          <w:sz w:val="22"/>
          <w:szCs w:val="22"/>
        </w:rPr>
        <w:t xml:space="preserve">Modern cities face growing exposure to natural and man-made hazards, intensified by the negative effects of climate change. Earthquakes, mudflows, floods, fires, extremely high rates of air temperature increase up to 40 degrees and above, droughts, frosts, strong winds, intense downpours, dust storms, landslide processes, environmental pollution, ecosystem degradation and water scarcity all pose a threat to public safety and sustainable socioeconomic development. The negative effects of climate change are already increasing the frequency and intensity of hazardous natural phenomena, leading to continuously growing human, financial and environmental losses.</w:t>
      </w:r>
    </w:p>
    <w:p>
      <w:pPr>
        <w:spacing w:after="200"/>
        <w:jc w:val="left"/>
      </w:pPr>
      <w:r>
        <w:rPr>
          <w:b w:val="false"/>
          <w:bCs w:val="false"/>
          <w:i w:val="false"/>
          <w:iCs w:val="false"/>
          <w:sz w:val="22"/>
          <w:szCs w:val="22"/>
        </w:rPr>
        <w:t xml:space="preserve">Most large cities in the region lie in zones of high seismic risk and face serious challenges in reducing vulnerability to destructive earthquakes. Over the past century, Almaty, Tashkent, Ashgabat and other major cities and settlements in the region have been struck by destructive earthquakes, the catastrophic consequences of which have caused large scale destruction, hundreds of thousands of victims and damage running into billions of dollars.</w:t>
      </w:r>
    </w:p>
    <w:p>
      <w:pPr>
        <w:spacing w:after="200"/>
        <w:jc w:val="left"/>
      </w:pPr>
      <w:r>
        <w:rPr>
          <w:b w:val="false"/>
          <w:bCs w:val="false"/>
          <w:i w:val="false"/>
          <w:iCs w:val="false"/>
          <w:sz w:val="22"/>
          <w:szCs w:val="22"/>
        </w:rPr>
        <w:t xml:space="preserve">The environmental situation in the major cities of Central Asia remains difficult. The most acute problems are air pollution, a shortage of clean water, the accumulation of solid household waste and the shrinking of green spaces. The most serious problem facing the region's capitals and other major cities is air pollution, which has a negative impact on public health and the environment.</w:t>
      </w:r>
    </w:p>
    <w:p>
      <w:pPr>
        <w:spacing w:after="200"/>
        <w:jc w:val="left"/>
      </w:pPr>
      <w:r>
        <w:rPr>
          <w:b w:val="false"/>
          <w:bCs w:val="false"/>
          <w:i w:val="false"/>
          <w:iCs w:val="false"/>
          <w:sz w:val="22"/>
          <w:szCs w:val="22"/>
        </w:rPr>
        <w:t xml:space="preserve">These problems are compounded by rapid population growth, industrial development, active construction, the reduction of park and green space areas, an increasing number of vehicles, insufficient capacity of irrigation networks and roads, traffic congestion and heavy pressure on urban infrastructure.</w:t>
      </w:r>
    </w:p>
    <w:p>
      <w:pPr>
        <w:spacing w:after="200"/>
        <w:jc w:val="left"/>
      </w:pPr>
      <w:r>
        <w:rPr>
          <w:b w:val="false"/>
          <w:bCs w:val="false"/>
          <w:i w:val="false"/>
          <w:iCs w:val="false"/>
          <w:sz w:val="22"/>
          <w:szCs w:val="22"/>
        </w:rPr>
        <w:t xml:space="preserve">Central government bodies and city administrations (municipal governments) are taking measures to increase the resilience of urban infrastructure and life support systems, improve monitoring, early forecasting and warning systems, build protective structures, improve urban planning, and introduce nature based approaches and modern innovative information and communication technologies, the ultimate goal of which is to reduce disaster risk, minimize the negative effects of climate change, and protect the population and territories from emergencies.</w:t>
      </w:r>
    </w:p>
    <w:p>
      <w:pPr>
        <w:spacing w:after="200"/>
        <w:jc w:val="left"/>
      </w:pPr>
      <w:r>
        <w:rPr>
          <w:b w:val="false"/>
          <w:bCs w:val="false"/>
          <w:i w:val="false"/>
          <w:iCs w:val="false"/>
          <w:sz w:val="22"/>
          <w:szCs w:val="22"/>
        </w:rPr>
        <w:t xml:space="preserve">City administrations (municipal governments) are expanding and strengthening international cooperation and partnership with other cities, sister cities, international and non governmental organizations, and research institutions, in order to attract investment, exchange experience, and implement joint initiatives, programmes and projects in all areas of activity, including on increasing the resilience of cities and their populations to disaster risks and climate change.</w:t>
      </w:r>
    </w:p>
    <w:p>
      <w:pPr>
        <w:spacing w:after="200"/>
        <w:jc w:val="left"/>
      </w:pPr>
      <w:r>
        <w:rPr>
          <w:b w:val="false"/>
          <w:bCs w:val="false"/>
          <w:i w:val="false"/>
          <w:iCs w:val="false"/>
          <w:sz w:val="22"/>
          <w:szCs w:val="22"/>
        </w:rPr>
        <w:t xml:space="preserve">In November 2025, a high level regional event, the Regional Forum, Meeting of Heads of Emergency Agencies of Central Asian Countries, was held in Dushanbe, at which issues of increasing the resilience of Central Asian cities to disaster risks and climate change were considered and discussed, within the framework of the UNDP regional project “Increasing the Resilience of Cities to Disaster Risks and Climate Change in Central Asia,” funded by the Government of Japan, and the global UN initiative “Making Cities Resilient 2030.”</w:t>
      </w:r>
    </w:p>
    <w:p>
      <w:pPr>
        <w:spacing w:after="120"/>
        <w:jc w:val="left"/>
      </w:pPr>
      <w:r>
        <w:rPr>
          <w:b w:val="false"/>
          <w:bCs w:val="false"/>
          <w:i w:val="false"/>
          <w:iCs w:val="false"/>
          <w:sz w:val="22"/>
          <w:szCs w:val="22"/>
        </w:rPr>
        <w:t xml:space="preserve">Following the results of the Regional Forum:</w:t>
      </w:r>
    </w:p>
    <w:p>
      <w:pPr>
        <w:pStyle w:val="ListParagraph"/>
        <w:numPr>
          <w:ilvl w:val="0"/>
          <w:numId w:val="2"/>
        </w:numPr>
        <w:spacing w:after="100"/>
      </w:pPr>
      <w:r>
        <w:rPr>
          <w:sz w:val="21"/>
          <w:szCs w:val="21"/>
        </w:rPr>
        <w:t xml:space="preserve">the heads of the emergency agencies of the Central Asian countries approved and signed a “Protocol of Intent on Increasing the Resilience of Cities of the Central Asian Countries to Disaster Risks and Climate Change,” with the aim of further strengthening mutually beneficial cooperation on increasing the safety, resilience and sustainability of cities to disaster risks and climate change, and of supporting and facilitating the UNDP initiative to establish and further operate the “Coalition of Resilient Cities of Central Asia”;</w:t>
      </w:r>
    </w:p>
    <w:p>
      <w:pPr>
        <w:pStyle w:val="ListParagraph"/>
        <w:numPr>
          <w:ilvl w:val="0"/>
          <w:numId w:val="2"/>
        </w:numPr>
        <w:spacing w:after="100"/>
      </w:pPr>
      <w:r>
        <w:rPr>
          <w:sz w:val="21"/>
          <w:szCs w:val="21"/>
        </w:rPr>
        <w:t xml:space="preserve">the heads of the city administrations (municipal governments) of Petropavlovsk, Osh, Dushanbe, Ashgabat and Namangan adopted a Joint Declaration and an agreed decision to found the “Coalition of Resilient Cities of Central Asia,” within which they expressed their intention and reached agreement to strengthen interaction and cooperation, consolidate their actions and expand partnership in order to ensure the inclusiveness, safety, resilience and sustainability of cities to disaster risks and climate change.</w:t>
      </w:r>
    </w:p>
    <w:p>
      <w:pPr>
        <w:spacing w:after="200"/>
        <w:jc w:val="left"/>
      </w:pPr>
      <w:r>
        <w:rPr>
          <w:b w:val="false"/>
          <w:bCs w:val="false"/>
          <w:i w:val="false"/>
          <w:iCs w:val="false"/>
          <w:sz w:val="22"/>
          <w:szCs w:val="22"/>
        </w:rPr>
        <w:t xml:space="preserve">In April 2026, a large scale, high level international event dedicated to the International Day for the Commemoration of Earthquake Victims, established by UN General Assembly Resolution 79/285 of 29 April 2025 on the initiative of the President of the Republic of Uzbekistan, was held in Tashkent under the chairmanship of the Republic of Uzbekistan. Following this event, the heads of the emergency agencies of the Central Asian states adopted a “Joint Statement on Strengthening Earthquake Resilience, Enhancing Response Preparedness and Ensuring Recovery,” thereby expressing a shared commitment to unite and consolidate their efforts in developing and improving national and regional systems for monitoring, forecasting, early warning and mutual notification of the threat and occurrence of emergencies, through the introduction of innovative information and communication technologies.</w:t>
      </w:r>
    </w:p>
    <w:p>
      <w:pPr>
        <w:spacing w:after="200"/>
        <w:jc w:val="left"/>
      </w:pPr>
      <w:r>
        <w:rPr>
          <w:b w:val="false"/>
          <w:bCs w:val="false"/>
          <w:i w:val="false"/>
          <w:iCs w:val="false"/>
          <w:sz w:val="22"/>
          <w:szCs w:val="22"/>
        </w:rPr>
        <w:t xml:space="preserve">In 2026, Astana, the capital of the Republic of Kazakhstan, received a “Certificate of Recognition” and became the first resilience hub in Central Asia within the framework of the global UN initiative “Making Cities Resilient 2030.” This became an important first step toward urban resilience in the region and toward strengthening Astana's role as a regional platform for the exchange of knowledge, innovation and practical solutions among cities.</w:t>
      </w:r>
    </w:p>
    <w:p>
      <w:pPr>
        <w:spacing w:after="200"/>
        <w:jc w:val="left"/>
      </w:pPr>
      <w:r>
        <w:rPr>
          <w:b w:val="false"/>
          <w:bCs w:val="false"/>
          <w:i w:val="false"/>
          <w:iCs w:val="false"/>
          <w:sz w:val="22"/>
          <w:szCs w:val="22"/>
        </w:rPr>
        <w:t xml:space="preserve">Within the framework of the GIZ regional project “Sustainable and Climate Responsive Urban Development in Central Asia,” the densely populated cities of the Fergana Valley, namely Manas, Osh, Khujand, Isfara, Fergana and Kokand, are implementing measures and taking part in regional exchange of experience and training on climate resilient urban development and increasing resilience to disaster risks and climate change.</w:t>
      </w:r>
    </w:p>
    <w:p>
      <w:pPr>
        <w:spacing w:after="200"/>
        <w:jc w:val="left"/>
      </w:pPr>
      <w:r>
        <w:rPr>
          <w:b w:val="false"/>
          <w:bCs w:val="false"/>
          <w:i w:val="false"/>
          <w:iCs w:val="false"/>
          <w:sz w:val="22"/>
          <w:szCs w:val="22"/>
        </w:rPr>
        <w:t xml:space="preserve">The largest cities of Central Asia, Astana, Almaty, Bishkek, Dushanbe, Ashgabat and Tashkent, are actively investing in modernizing critical infrastructure, expanding green areas, reducing air pollution and increasing the seismic resistance of buildings, and are introducing digital technologies for managing utilities and other services. Particular attention is being paid to disaster risk management and increasing resilience to climate and natural risks, since these major cities and capitals are located in zones of high seismic risk.</w:t>
      </w:r>
    </w:p>
    <w:p>
      <w:pPr>
        <w:spacing w:after="200"/>
        <w:jc w:val="left"/>
      </w:pPr>
      <w:r>
        <w:rPr>
          <w:b w:val="false"/>
          <w:bCs w:val="false"/>
          <w:i w:val="false"/>
          <w:iCs w:val="false"/>
          <w:sz w:val="22"/>
          <w:szCs w:val="22"/>
        </w:rPr>
        <w:t xml:space="preserve">Despite the measures being taken, the city administrations (municipal governments) of the Central Asian states face a number of difficulties and problems in increasing resilience to disaster risks and climate change, directly related to insufficient funding, rapid growth of the urban population, outdated infrastructure, the intensification of extreme weather events, uneven levels of preparedness for climate risks, insufficient coordination among authorities, gaps in ensuring inclusiveness and public participation in decision making that takes into account gender aspects and the needs of different age, social and other groups of the population, as well as incomplete data on the differentiated impact of disasters on different population groups, which are needed for risk informed planning.</w:t>
      </w:r>
    </w:p>
    <w:p>
      <w:pPr>
        <w:spacing w:after="160" w:before="260"/>
      </w:pPr>
      <w:r>
        <w:rPr>
          <w:b/>
          <w:bCs/>
          <w:sz w:val="24"/>
          <w:szCs w:val="24"/>
        </w:rPr>
        <w:t xml:space="preserve">Part 2. International Policy Underlying the Concept</w:t>
      </w:r>
    </w:p>
    <w:p>
      <w:pPr>
        <w:spacing w:after="200"/>
        <w:jc w:val="left"/>
      </w:pPr>
      <w:r>
        <w:rPr>
          <w:b w:val="false"/>
          <w:bCs w:val="false"/>
          <w:i w:val="false"/>
          <w:iCs w:val="false"/>
          <w:sz w:val="22"/>
          <w:szCs w:val="22"/>
        </w:rPr>
        <w:t xml:space="preserve">Urbanization, climate change and the growing number of natural and man-made disasters are making urban resilience one of the key tasks of national and international policy. The international community has developed and is implementing a number of initiatives, strategies, agreements and programmes aimed at reducing disaster risk and adapting cities to climate change.</w:t>
      </w:r>
    </w:p>
    <w:p>
      <w:pPr>
        <w:spacing w:after="200"/>
        <w:jc w:val="left"/>
      </w:pPr>
      <w:r>
        <w:rPr>
          <w:b w:val="false"/>
          <w:bCs w:val="false"/>
          <w:i w:val="false"/>
          <w:iCs w:val="false"/>
          <w:sz w:val="22"/>
          <w:szCs w:val="22"/>
        </w:rPr>
        <w:t xml:space="preserve">International policy in the field of increasing the resilience of cities to disaster risks and climate change is based on a number of global documents adopted under the auspices of the UN and other international organizations, the main ones being:</w:t>
      </w:r>
    </w:p>
    <w:p>
      <w:pPr>
        <w:pStyle w:val="ListParagraph"/>
        <w:numPr>
          <w:ilvl w:val="0"/>
          <w:numId w:val="3"/>
        </w:numPr>
        <w:spacing w:after="100"/>
      </w:pPr>
      <w:r>
        <w:rPr>
          <w:sz w:val="21"/>
          <w:szCs w:val="21"/>
        </w:rPr>
        <w:t xml:space="preserve">The 2030 Agenda for Sustainable Development, including Sustainable Development Goal 11, “Make cities and human settlements inclusive, safe, resilient and sustainable”;</w:t>
      </w:r>
    </w:p>
    <w:p>
      <w:pPr>
        <w:pStyle w:val="ListParagraph"/>
        <w:numPr>
          <w:ilvl w:val="0"/>
          <w:numId w:val="3"/>
        </w:numPr>
        <w:spacing w:after="100"/>
      </w:pPr>
      <w:r>
        <w:rPr>
          <w:sz w:val="21"/>
          <w:szCs w:val="21"/>
        </w:rPr>
        <w:t xml:space="preserve">The Sendai Framework for Disaster Risk Reduction (2015–2030);</w:t>
      </w:r>
    </w:p>
    <w:p>
      <w:pPr>
        <w:pStyle w:val="ListParagraph"/>
        <w:numPr>
          <w:ilvl w:val="0"/>
          <w:numId w:val="3"/>
        </w:numPr>
        <w:spacing w:after="100"/>
      </w:pPr>
      <w:r>
        <w:rPr>
          <w:sz w:val="21"/>
          <w:szCs w:val="21"/>
        </w:rPr>
        <w:t xml:space="preserve">The Paris Agreement on Climate Change (2015–2030);</w:t>
      </w:r>
    </w:p>
    <w:p>
      <w:pPr>
        <w:pStyle w:val="ListParagraph"/>
        <w:numPr>
          <w:ilvl w:val="0"/>
          <w:numId w:val="3"/>
        </w:numPr>
        <w:spacing w:after="100"/>
      </w:pPr>
      <w:r>
        <w:rPr>
          <w:sz w:val="21"/>
          <w:szCs w:val="21"/>
        </w:rPr>
        <w:t xml:space="preserve">The New Urban Agenda;</w:t>
      </w:r>
    </w:p>
    <w:p>
      <w:pPr>
        <w:pStyle w:val="ListParagraph"/>
        <w:numPr>
          <w:ilvl w:val="0"/>
          <w:numId w:val="3"/>
        </w:numPr>
        <w:spacing w:after="100"/>
      </w:pPr>
      <w:r>
        <w:rPr>
          <w:sz w:val="21"/>
          <w:szCs w:val="21"/>
        </w:rPr>
        <w:t xml:space="preserve">The global UN initiative “Making Cities Resilient 2030 (MCR2030),” aimed at increasing the resilience of cities to natural, man-made and climate risks by 2030.</w:t>
      </w:r>
    </w:p>
    <w:p>
      <w:pPr>
        <w:spacing w:after="200"/>
        <w:jc w:val="left"/>
      </w:pPr>
      <w:r>
        <w:rPr>
          <w:b w:val="false"/>
          <w:bCs w:val="false"/>
          <w:i w:val="false"/>
          <w:iCs w:val="false"/>
          <w:sz w:val="22"/>
          <w:szCs w:val="22"/>
        </w:rPr>
        <w:t xml:space="preserve">Despite significant progress, national and international policy on increasing the resilience of cities and their populations to disaster risks and climate change faces a number of difficulties directly related to insufficient funding, rapid growth of the urban population, outdated infrastructure, the intensification of extreme weather events, uneven levels of preparedness for climate risks among different states, and insufficient coordination between authorities and international organizations.</w:t>
      </w:r>
    </w:p>
    <w:p>
      <w:pPr>
        <w:spacing w:after="160" w:before="260"/>
      </w:pPr>
      <w:r>
        <w:rPr>
          <w:b/>
          <w:bCs/>
          <w:sz w:val="24"/>
          <w:szCs w:val="24"/>
        </w:rPr>
        <w:t xml:space="preserve">Part 3. Vision of the Concept</w:t>
      </w:r>
    </w:p>
    <w:p>
      <w:pPr>
        <w:spacing w:after="200"/>
        <w:jc w:val="left"/>
      </w:pPr>
      <w:r>
        <w:rPr>
          <w:b w:val="false"/>
          <w:bCs w:val="false"/>
          <w:i w:val="false"/>
          <w:iCs w:val="false"/>
          <w:sz w:val="22"/>
          <w:szCs w:val="22"/>
        </w:rPr>
        <w:t xml:space="preserve">This Concept sets out unified strategic approaches, principles, goals, main objectives and directions for regional interaction and cooperation, the consolidation of efforts and the expansion of partnership, in order to ensure the inclusiveness, safety, resilience and increased sustainability of cities and their populations to disaster risks and climate change.</w:t>
      </w:r>
    </w:p>
    <w:p>
      <w:pPr>
        <w:spacing w:after="200"/>
        <w:jc w:val="left"/>
      </w:pPr>
      <w:r>
        <w:rPr>
          <w:b w:val="false"/>
          <w:bCs w:val="false"/>
          <w:i w:val="false"/>
          <w:iCs w:val="false"/>
          <w:sz w:val="22"/>
          <w:szCs w:val="22"/>
        </w:rPr>
        <w:t xml:space="preserve">The Concept will become the basis for forming a modern system of urban development management, oriented toward ensuring public safety through disaster risk reduction, adaptation to climate change and the sustainable use of natural resources.</w:t>
      </w:r>
    </w:p>
    <w:p>
      <w:pPr>
        <w:spacing w:after="200"/>
        <w:jc w:val="left"/>
      </w:pPr>
      <w:r>
        <w:rPr>
          <w:b w:val="false"/>
          <w:bCs w:val="false"/>
          <w:i w:val="false"/>
          <w:iCs w:val="false"/>
          <w:sz w:val="22"/>
          <w:szCs w:val="22"/>
        </w:rPr>
        <w:t xml:space="preserve">It is expected that by 2030 the Central Asian countries will have achieved significant progress in increasing the resilience of cities to disaster risks and climate change, through improving data collection processes for risk understanding, risk management systems, the development of safe and resilient urban infrastructure, the introduction of modern monitoring and early warning technologies, and the integration of climate change adaptation measures into urban planning and development processes.</w:t>
      </w:r>
    </w:p>
    <w:p>
      <w:pPr>
        <w:spacing w:after="200"/>
        <w:jc w:val="left"/>
      </w:pPr>
      <w:r>
        <w:rPr>
          <w:b w:val="false"/>
          <w:bCs w:val="false"/>
          <w:i w:val="false"/>
          <w:iCs w:val="false"/>
          <w:sz w:val="22"/>
          <w:szCs w:val="22"/>
        </w:rPr>
        <w:t xml:space="preserve">Most cities in the region will increase their resilience, becoming safer, more inclusive and more climate adapted territories, capable of effectively preventing, minimizing and overcoming the negative effects of natural and man-made disasters.</w:t>
      </w:r>
    </w:p>
    <w:p>
      <w:pPr>
        <w:spacing w:after="200"/>
        <w:jc w:val="left"/>
      </w:pPr>
      <w:r>
        <w:rPr>
          <w:b w:val="false"/>
          <w:bCs w:val="false"/>
          <w:i w:val="false"/>
          <w:iCs w:val="false"/>
          <w:sz w:val="22"/>
          <w:szCs w:val="22"/>
        </w:rPr>
        <w:t xml:space="preserve">Cities of Central Asia will attain a higher level of preparedness for disaster prevention and risk reduction, response and recovery after emergencies, ensuring the protection of the population, the sustainable functioning of critical infrastructure, the reduction of economic losses and the preservation of a favorable environment.</w:t>
      </w:r>
    </w:p>
    <w:p>
      <w:pPr>
        <w:spacing w:after="200"/>
        <w:jc w:val="left"/>
      </w:pPr>
      <w:r>
        <w:rPr>
          <w:b w:val="false"/>
          <w:bCs w:val="false"/>
          <w:i w:val="false"/>
          <w:iCs w:val="false"/>
          <w:sz w:val="22"/>
          <w:szCs w:val="22"/>
        </w:rPr>
        <w:t xml:space="preserve">Regional cooperation and global partnership, the exchange of knowledge and data, best practices and international experience, innovative solutions and technologies, and the implementation of joint projects will become an important foundation for building resilient, safe and climate adapted cities in Central Asia.</w:t>
      </w:r>
    </w:p>
    <w:p>
      <w:pPr>
        <w:spacing w:after="200"/>
        <w:jc w:val="left"/>
      </w:pPr>
      <w:r>
        <w:rPr>
          <w:b w:val="false"/>
          <w:bCs w:val="false"/>
          <w:i w:val="false"/>
          <w:iCs w:val="false"/>
          <w:sz w:val="22"/>
          <w:szCs w:val="22"/>
        </w:rPr>
        <w:t xml:space="preserve">Implementation of the Concept will, within the framework of the “Coalition of Resilient Cities of Central Asia,” make it possible to form, by 2030, a network of resilient Central Asian cities capable of effectively withstanding modern climate and natural challenges, ensuring public safety, sustainable economic growth and the achievement of the Sustainable Development Goals, and fulfilling commitments under the Sendai Framework for Disaster Risk Reduction 2015–2030 and the implementation of the international climate agenda.</w:t>
      </w:r>
    </w:p>
    <w:p>
      <w:pPr>
        <w:spacing w:after="200"/>
        <w:jc w:val="left"/>
      </w:pPr>
      <w:r>
        <w:rPr>
          <w:b w:val="false"/>
          <w:bCs w:val="false"/>
          <w:i w:val="false"/>
          <w:iCs w:val="false"/>
          <w:sz w:val="22"/>
          <w:szCs w:val="22"/>
        </w:rPr>
        <w:t xml:space="preserve">Within the “Coalition of Resilient Cities of Central Asia,” cities will gain access to a unified package of support measures aimed at increasing their resilience. The support package includes the development of city risk profiles, access to practical methodology and tools for integrating disaster risk reduction and climate change adaptation measures into urban planning, mechanisms for forming and selecting projects, the training module “Fundamentals of Urban Resilience” and a compendium of proven regional solutions, assistance in developing projects to secure funding, as well as expert consultations and knowledge exchange with international partners, including Japanese institutions.</w:t>
      </w:r>
    </w:p>
    <w:p>
      <w:pPr>
        <w:spacing w:after="160" w:before="260"/>
      </w:pPr>
      <w:r>
        <w:rPr>
          <w:b/>
          <w:bCs/>
          <w:sz w:val="24"/>
          <w:szCs w:val="24"/>
        </w:rPr>
        <w:t xml:space="preserve">Part 4. Goals</w:t>
      </w:r>
    </w:p>
    <w:p>
      <w:pPr>
        <w:spacing w:after="120"/>
        <w:jc w:val="left"/>
      </w:pPr>
      <w:r>
        <w:rPr>
          <w:b w:val="false"/>
          <w:bCs w:val="false"/>
          <w:i w:val="false"/>
          <w:iCs w:val="false"/>
          <w:sz w:val="22"/>
          <w:szCs w:val="22"/>
        </w:rPr>
        <w:t xml:space="preserve">The main goals of this Concept are:</w:t>
      </w:r>
    </w:p>
    <w:p>
      <w:pPr>
        <w:pStyle w:val="ListParagraph"/>
        <w:numPr>
          <w:ilvl w:val="0"/>
          <w:numId w:val="4"/>
        </w:numPr>
        <w:spacing w:after="100"/>
      </w:pPr>
      <w:r>
        <w:rPr>
          <w:sz w:val="21"/>
          <w:szCs w:val="21"/>
        </w:rPr>
        <w:t xml:space="preserve">to form a unified regional approach to increasing the resilience of Central Asian cities by integrating disaster risk management and climate change adaptation into public policy, spatial planning, infrastructure development and urban governance systems;</w:t>
      </w:r>
    </w:p>
    <w:p>
      <w:pPr>
        <w:pStyle w:val="ListParagraph"/>
        <w:numPr>
          <w:ilvl w:val="0"/>
          <w:numId w:val="4"/>
        </w:numPr>
        <w:spacing w:after="100"/>
      </w:pPr>
      <w:r>
        <w:rPr>
          <w:sz w:val="21"/>
          <w:szCs w:val="21"/>
        </w:rPr>
        <w:t xml:space="preserve">to strengthen regional cooperation and global partnership, and to consolidate joint actions and efforts, in order to ensure the inclusiveness, safety, resilience and increased sustainability of cities to disaster risks and climate change;</w:t>
      </w:r>
    </w:p>
    <w:p>
      <w:pPr>
        <w:pStyle w:val="ListParagraph"/>
        <w:numPr>
          <w:ilvl w:val="0"/>
          <w:numId w:val="4"/>
        </w:numPr>
        <w:spacing w:after="100"/>
      </w:pPr>
      <w:r>
        <w:rPr>
          <w:sz w:val="21"/>
          <w:szCs w:val="21"/>
        </w:rPr>
        <w:t xml:space="preserve">to create, within the framework of the “Coalition of Resilient Cities of Central Asia,” a unified regional system for increasing the resilience of Central Asian cities to disaster risks and climate change, through strengthening cooperation and partnership, exchanging knowledge and data, best practices and international experience, innovative solutions and technologies, and implementing joint projects.</w:t>
      </w:r>
    </w:p>
    <w:p>
      <w:pPr>
        <w:spacing w:after="160" w:before="260"/>
      </w:pPr>
      <w:r>
        <w:rPr>
          <w:b/>
          <w:bCs/>
          <w:sz w:val="24"/>
          <w:szCs w:val="24"/>
        </w:rPr>
        <w:t xml:space="preserve">Part 5. Principles</w:t>
      </w:r>
    </w:p>
    <w:p>
      <w:pPr>
        <w:spacing w:after="120"/>
        <w:jc w:val="left"/>
      </w:pPr>
      <w:r>
        <w:rPr>
          <w:b w:val="false"/>
          <w:bCs w:val="false"/>
          <w:i w:val="false"/>
          <w:iCs w:val="false"/>
          <w:sz w:val="22"/>
          <w:szCs w:val="22"/>
        </w:rPr>
        <w:t xml:space="preserve">This Concept is based on the following key principles:</w:t>
      </w:r>
    </w:p>
    <w:p>
      <w:pPr>
        <w:pStyle w:val="ListParagraph"/>
        <w:numPr>
          <w:ilvl w:val="0"/>
          <w:numId w:val="5"/>
        </w:numPr>
        <w:spacing w:after="100"/>
      </w:pPr>
      <w:r>
        <w:rPr>
          <w:sz w:val="21"/>
          <w:szCs w:val="21"/>
        </w:rPr>
        <w:t xml:space="preserve">priority given to preserving the life and health of the population and the environment, based on the prevention and reduction of disaster risk;</w:t>
      </w:r>
    </w:p>
    <w:p>
      <w:pPr>
        <w:pStyle w:val="ListParagraph"/>
        <w:numPr>
          <w:ilvl w:val="0"/>
          <w:numId w:val="5"/>
        </w:numPr>
        <w:spacing w:after="100"/>
      </w:pPr>
      <w:r>
        <w:rPr>
          <w:sz w:val="21"/>
          <w:szCs w:val="21"/>
        </w:rPr>
        <w:t xml:space="preserve">inclusiveness and the mandatory participation of the population in decision making, taking into account gender aspects and the age, social and other identity factors of different population groups;</w:t>
      </w:r>
    </w:p>
    <w:p>
      <w:pPr>
        <w:pStyle w:val="ListParagraph"/>
        <w:numPr>
          <w:ilvl w:val="0"/>
          <w:numId w:val="5"/>
        </w:numPr>
        <w:spacing w:after="100"/>
      </w:pPr>
      <w:r>
        <w:rPr>
          <w:sz w:val="21"/>
          <w:szCs w:val="21"/>
        </w:rPr>
        <w:t xml:space="preserve">an integrated approach to disaster risk and climate change management, providing for the integration of disaster risk reduction and climate change adaptation into socioeconomic development strategies, programmes and plans, as well as into the system of state and municipal governance;</w:t>
      </w:r>
    </w:p>
    <w:p>
      <w:pPr>
        <w:pStyle w:val="ListParagraph"/>
        <w:numPr>
          <w:ilvl w:val="0"/>
          <w:numId w:val="5"/>
        </w:numPr>
        <w:spacing w:after="100"/>
      </w:pPr>
      <w:r>
        <w:rPr>
          <w:sz w:val="21"/>
          <w:szCs w:val="21"/>
        </w:rPr>
        <w:t xml:space="preserve">the responsibility of public authorities, business entities and society, and the scientific validity of decisions taken;</w:t>
      </w:r>
    </w:p>
    <w:p>
      <w:pPr>
        <w:pStyle w:val="ListParagraph"/>
        <w:numPr>
          <w:ilvl w:val="0"/>
          <w:numId w:val="5"/>
        </w:numPr>
        <w:spacing w:after="100"/>
      </w:pPr>
      <w:r>
        <w:rPr>
          <w:sz w:val="21"/>
          <w:szCs w:val="21"/>
        </w:rPr>
        <w:t xml:space="preserve">environmental sustainability and the rational use of natural resources, the application of modern digital technologies, innovative solutions and data, including data disaggregated by sex, age and ability, for the prevention, assessment and reduction of disaster risk, as well as in disaster response and recovery;</w:t>
      </w:r>
    </w:p>
    <w:p>
      <w:pPr>
        <w:pStyle w:val="ListParagraph"/>
        <w:numPr>
          <w:ilvl w:val="0"/>
          <w:numId w:val="5"/>
        </w:numPr>
        <w:spacing w:after="100"/>
      </w:pPr>
      <w:r>
        <w:rPr>
          <w:sz w:val="21"/>
          <w:szCs w:val="21"/>
        </w:rPr>
        <w:t xml:space="preserve">compliance with international obligations and the Sustainable Development Goals, with orientation toward strengthening regional cooperation and global partnership.</w:t>
      </w:r>
    </w:p>
    <w:p>
      <w:pPr>
        <w:spacing w:after="160" w:before="260"/>
      </w:pPr>
      <w:r>
        <w:rPr>
          <w:b/>
          <w:bCs/>
          <w:sz w:val="24"/>
          <w:szCs w:val="24"/>
        </w:rPr>
        <w:t xml:space="preserve">Part 6. Main Objectives and Priority Areas for Implementation</w:t>
      </w:r>
    </w:p>
    <w:p>
      <w:pPr>
        <w:spacing w:after="60"/>
        <w:jc w:val="left"/>
      </w:pPr>
      <w:r>
        <w:rPr>
          <w:b/>
          <w:bCs/>
          <w:i w:val="false"/>
          <w:iCs w:val="false"/>
          <w:sz w:val="22"/>
          <w:szCs w:val="22"/>
        </w:rPr>
        <w:t xml:space="preserve">Objective 1. Developing and improving systems for managing disaster risks and climate threats.</w:t>
      </w:r>
    </w:p>
    <w:p>
      <w:pPr>
        <w:spacing w:after="100"/>
        <w:jc w:val="left"/>
      </w:pPr>
      <w:r>
        <w:rPr>
          <w:b w:val="false"/>
          <w:bCs w:val="false"/>
          <w:i w:val="false"/>
          <w:iCs w:val="false"/>
          <w:sz w:val="22"/>
          <w:szCs w:val="22"/>
        </w:rPr>
        <w:t xml:space="preserve">Priority areas for implementation:</w:t>
      </w:r>
    </w:p>
    <w:p>
      <w:pPr>
        <w:pStyle w:val="ListParagraph"/>
        <w:numPr>
          <w:ilvl w:val="0"/>
          <w:numId w:val="6"/>
        </w:numPr>
        <w:spacing w:after="100"/>
      </w:pPr>
      <w:r>
        <w:rPr>
          <w:sz w:val="21"/>
          <w:szCs w:val="21"/>
        </w:rPr>
        <w:t xml:space="preserve">creating and strengthening regional, national and local mechanisms for managing disaster risks and climate threats;</w:t>
      </w:r>
    </w:p>
    <w:p>
      <w:pPr>
        <w:pStyle w:val="ListParagraph"/>
        <w:numPr>
          <w:ilvl w:val="0"/>
          <w:numId w:val="6"/>
        </w:numPr>
        <w:spacing w:after="100"/>
      </w:pPr>
      <w:r>
        <w:rPr>
          <w:sz w:val="21"/>
          <w:szCs w:val="21"/>
        </w:rPr>
        <w:t xml:space="preserve">integrating disaster risk reduction and climate change adaptation into state and municipal policy, socioeconomic development strategies, programmes and plans;</w:t>
      </w:r>
    </w:p>
    <w:p>
      <w:pPr>
        <w:pStyle w:val="ListParagraph"/>
        <w:numPr>
          <w:ilvl w:val="0"/>
          <w:numId w:val="6"/>
        </w:numPr>
        <w:spacing w:after="100"/>
      </w:pPr>
      <w:r>
        <w:rPr>
          <w:sz w:val="21"/>
          <w:szCs w:val="21"/>
        </w:rPr>
        <w:t xml:space="preserve">improving and harmonizing legislation and the regulatory legal framework in the field of disaster risk reduction and climate change;</w:t>
      </w:r>
    </w:p>
    <w:p>
      <w:pPr>
        <w:pStyle w:val="ListParagraph"/>
        <w:numPr>
          <w:ilvl w:val="0"/>
          <w:numId w:val="6"/>
        </w:numPr>
        <w:spacing w:after="100"/>
      </w:pPr>
      <w:r>
        <w:rPr>
          <w:sz w:val="21"/>
          <w:szCs w:val="21"/>
        </w:rPr>
        <w:t xml:space="preserve">building the capacity of relevant city specialists in urban resilience through the “Urban Resilience” training module.</w:t>
      </w:r>
    </w:p>
    <w:p>
      <w:pPr>
        <w:spacing w:after="60"/>
        <w:jc w:val="left"/>
      </w:pPr>
      <w:r>
        <w:rPr>
          <w:b/>
          <w:bCs/>
          <w:i w:val="false"/>
          <w:iCs w:val="false"/>
          <w:sz w:val="22"/>
          <w:szCs w:val="22"/>
        </w:rPr>
        <w:t xml:space="preserve">Objective 2. Increasing the resilience of cities to climate change.</w:t>
      </w:r>
    </w:p>
    <w:p>
      <w:pPr>
        <w:spacing w:after="100"/>
        <w:jc w:val="left"/>
      </w:pPr>
      <w:r>
        <w:rPr>
          <w:b w:val="false"/>
          <w:bCs w:val="false"/>
          <w:i w:val="false"/>
          <w:iCs w:val="false"/>
          <w:sz w:val="22"/>
          <w:szCs w:val="22"/>
        </w:rPr>
        <w:t xml:space="preserve">Priority areas for implementation:</w:t>
      </w:r>
    </w:p>
    <w:p>
      <w:pPr>
        <w:pStyle w:val="ListParagraph"/>
        <w:numPr>
          <w:ilvl w:val="0"/>
          <w:numId w:val="7"/>
        </w:numPr>
        <w:spacing w:after="100"/>
      </w:pPr>
      <w:r>
        <w:rPr>
          <w:sz w:val="21"/>
          <w:szCs w:val="21"/>
        </w:rPr>
        <w:t xml:space="preserve">developing green and nature based infrastructure: urban forests, parks, green zones and natural protective systems;</w:t>
      </w:r>
    </w:p>
    <w:p>
      <w:pPr>
        <w:pStyle w:val="ListParagraph"/>
        <w:numPr>
          <w:ilvl w:val="0"/>
          <w:numId w:val="7"/>
        </w:numPr>
        <w:spacing w:after="100"/>
      </w:pPr>
      <w:r>
        <w:rPr>
          <w:sz w:val="21"/>
          <w:szCs w:val="21"/>
        </w:rPr>
        <w:t xml:space="preserve">reducing vulnerability to the negative effects of climate change that worsen living conditions and public health and cause damage to urban infrastructure and the environment;</w:t>
      </w:r>
    </w:p>
    <w:p>
      <w:pPr>
        <w:pStyle w:val="ListParagraph"/>
        <w:numPr>
          <w:ilvl w:val="0"/>
          <w:numId w:val="7"/>
        </w:numPr>
        <w:spacing w:after="100"/>
      </w:pPr>
      <w:r>
        <w:rPr>
          <w:sz w:val="21"/>
          <w:szCs w:val="21"/>
        </w:rPr>
        <w:t xml:space="preserve">the rational use of natural resources: water conservation, energy efficiency and the use of renewable energy sources, waste recycling and reducing environmental pollution.</w:t>
      </w:r>
    </w:p>
    <w:p>
      <w:pPr>
        <w:spacing w:after="60"/>
        <w:jc w:val="left"/>
      </w:pPr>
      <w:r>
        <w:rPr>
          <w:b/>
          <w:bCs/>
          <w:i w:val="false"/>
          <w:iCs w:val="false"/>
          <w:sz w:val="22"/>
          <w:szCs w:val="22"/>
        </w:rPr>
        <w:t xml:space="preserve">Objective 3. Improving risk monitoring and forecasting systems.</w:t>
      </w:r>
    </w:p>
    <w:p>
      <w:pPr>
        <w:spacing w:after="100"/>
        <w:jc w:val="left"/>
      </w:pPr>
      <w:r>
        <w:rPr>
          <w:b w:val="false"/>
          <w:bCs w:val="false"/>
          <w:i w:val="false"/>
          <w:iCs w:val="false"/>
          <w:sz w:val="22"/>
          <w:szCs w:val="22"/>
        </w:rPr>
        <w:t xml:space="preserve">Priority areas for implementation:</w:t>
      </w:r>
    </w:p>
    <w:p>
      <w:pPr>
        <w:pStyle w:val="ListParagraph"/>
        <w:numPr>
          <w:ilvl w:val="0"/>
          <w:numId w:val="8"/>
        </w:numPr>
        <w:spacing w:after="100"/>
      </w:pPr>
      <w:r>
        <w:rPr>
          <w:sz w:val="21"/>
          <w:szCs w:val="21"/>
        </w:rPr>
        <w:t xml:space="preserve">conducting a comprehensive assessment of natural, man-made and climate risks, including their differentiated impact on the population, and developing risk and vulnerability profiles;</w:t>
      </w:r>
    </w:p>
    <w:p>
      <w:pPr>
        <w:pStyle w:val="ListParagraph"/>
        <w:numPr>
          <w:ilvl w:val="0"/>
          <w:numId w:val="8"/>
        </w:numPr>
        <w:spacing w:after="100"/>
      </w:pPr>
      <w:r>
        <w:rPr>
          <w:sz w:val="21"/>
          <w:szCs w:val="21"/>
        </w:rPr>
        <w:t xml:space="preserve">creating and improving geoinformation systems and information databases, including data disaggregated by sex, age and ability;</w:t>
      </w:r>
    </w:p>
    <w:p>
      <w:pPr>
        <w:pStyle w:val="ListParagraph"/>
        <w:numPr>
          <w:ilvl w:val="0"/>
          <w:numId w:val="8"/>
        </w:numPr>
        <w:spacing w:after="100"/>
      </w:pPr>
      <w:r>
        <w:rPr>
          <w:sz w:val="21"/>
          <w:szCs w:val="21"/>
        </w:rPr>
        <w:t xml:space="preserve">developing and introducing integrated systems for monitoring, forecasting and mapping risks, using innovative information and communication technologies such as artificial intelligence;</w:t>
      </w:r>
    </w:p>
    <w:p>
      <w:pPr>
        <w:pStyle w:val="ListParagraph"/>
        <w:numPr>
          <w:ilvl w:val="0"/>
          <w:numId w:val="8"/>
        </w:numPr>
        <w:spacing w:after="100"/>
      </w:pPr>
      <w:r>
        <w:rPr>
          <w:sz w:val="21"/>
          <w:szCs w:val="21"/>
        </w:rPr>
        <w:t xml:space="preserve">expanding the network of observation and laboratory monitoring, including meteorological, hydrological, seismic and other stations.</w:t>
      </w:r>
    </w:p>
    <w:p>
      <w:pPr>
        <w:spacing w:after="60"/>
        <w:jc w:val="left"/>
      </w:pPr>
      <w:r>
        <w:rPr>
          <w:b/>
          <w:bCs/>
          <w:i w:val="false"/>
          <w:iCs w:val="false"/>
          <w:sz w:val="22"/>
          <w:szCs w:val="22"/>
        </w:rPr>
        <w:t xml:space="preserve">Objective 4. Developing resilient urban infrastructure.</w:t>
      </w:r>
    </w:p>
    <w:p>
      <w:pPr>
        <w:spacing w:after="100"/>
        <w:jc w:val="left"/>
      </w:pPr>
      <w:r>
        <w:rPr>
          <w:b w:val="false"/>
          <w:bCs w:val="false"/>
          <w:i w:val="false"/>
          <w:iCs w:val="false"/>
          <w:sz w:val="22"/>
          <w:szCs w:val="22"/>
        </w:rPr>
        <w:t xml:space="preserve">Priority areas for implementation:</w:t>
      </w:r>
    </w:p>
    <w:p>
      <w:pPr>
        <w:pStyle w:val="ListParagraph"/>
        <w:numPr>
          <w:ilvl w:val="0"/>
          <w:numId w:val="9"/>
        </w:numPr>
        <w:spacing w:after="100"/>
      </w:pPr>
      <w:r>
        <w:rPr>
          <w:sz w:val="21"/>
          <w:szCs w:val="21"/>
        </w:rPr>
        <w:t xml:space="preserve">constructing and modernizing infrastructure facilities, taking into account natural, man-made, environmental and climate risks;</w:t>
      </w:r>
    </w:p>
    <w:p>
      <w:pPr>
        <w:pStyle w:val="ListParagraph"/>
        <w:numPr>
          <w:ilvl w:val="0"/>
          <w:numId w:val="9"/>
        </w:numPr>
        <w:spacing w:after="100"/>
      </w:pPr>
      <w:r>
        <w:rPr>
          <w:sz w:val="21"/>
          <w:szCs w:val="21"/>
        </w:rPr>
        <w:t xml:space="preserve">increasing the resilience of transport, energy, water supply and social infrastructure;</w:t>
      </w:r>
    </w:p>
    <w:p>
      <w:pPr>
        <w:pStyle w:val="ListParagraph"/>
        <w:numPr>
          <w:ilvl w:val="0"/>
          <w:numId w:val="9"/>
        </w:numPr>
        <w:spacing w:after="100"/>
      </w:pPr>
      <w:r>
        <w:rPr>
          <w:sz w:val="21"/>
          <w:szCs w:val="21"/>
        </w:rPr>
        <w:t xml:space="preserve">introducing sustainable urban planning standards that meet resilience and safety requirements;</w:t>
      </w:r>
    </w:p>
    <w:p>
      <w:pPr>
        <w:pStyle w:val="ListParagraph"/>
        <w:numPr>
          <w:ilvl w:val="0"/>
          <w:numId w:val="9"/>
        </w:numPr>
        <w:spacing w:after="100"/>
      </w:pPr>
      <w:r>
        <w:rPr>
          <w:sz w:val="21"/>
          <w:szCs w:val="21"/>
        </w:rPr>
        <w:t xml:space="preserve">improving systems for monitoring and overseeing the condition of potentially hazardous facilities and the environment, and for forecasting emergencies;</w:t>
      </w:r>
    </w:p>
    <w:p>
      <w:pPr>
        <w:pStyle w:val="ListParagraph"/>
        <w:numPr>
          <w:ilvl w:val="0"/>
          <w:numId w:val="9"/>
        </w:numPr>
        <w:spacing w:after="100"/>
      </w:pPr>
      <w:r>
        <w:rPr>
          <w:sz w:val="21"/>
          <w:szCs w:val="21"/>
        </w:rPr>
        <w:t xml:space="preserve">increasing the resilience of critical infrastructure (hospitals, schools, kindergartens, social facilities and life support facilities).</w:t>
      </w:r>
    </w:p>
    <w:p>
      <w:pPr>
        <w:spacing w:after="60"/>
        <w:jc w:val="left"/>
      </w:pPr>
      <w:r>
        <w:rPr>
          <w:b/>
          <w:bCs/>
          <w:i w:val="false"/>
          <w:iCs w:val="false"/>
          <w:sz w:val="22"/>
          <w:szCs w:val="22"/>
        </w:rPr>
        <w:t xml:space="preserve">Objective 5. Improving early warning and emergency preparedness systems.</w:t>
      </w:r>
    </w:p>
    <w:p>
      <w:pPr>
        <w:spacing w:after="100"/>
        <w:jc w:val="left"/>
      </w:pPr>
      <w:r>
        <w:rPr>
          <w:b w:val="false"/>
          <w:bCs w:val="false"/>
          <w:i w:val="false"/>
          <w:iCs w:val="false"/>
          <w:sz w:val="22"/>
          <w:szCs w:val="22"/>
        </w:rPr>
        <w:t xml:space="preserve">Priority areas for implementation:</w:t>
      </w:r>
    </w:p>
    <w:p>
      <w:pPr>
        <w:pStyle w:val="ListParagraph"/>
        <w:numPr>
          <w:ilvl w:val="0"/>
          <w:numId w:val="10"/>
        </w:numPr>
        <w:spacing w:after="100"/>
      </w:pPr>
      <w:r>
        <w:rPr>
          <w:sz w:val="21"/>
          <w:szCs w:val="21"/>
        </w:rPr>
        <w:t xml:space="preserve">introducing modern systems and innovative technologies for early warning, rapid alerting and emergency notification, as well as models based on data on differences in access to notification channels among different population groups;</w:t>
      </w:r>
    </w:p>
    <w:p>
      <w:pPr>
        <w:pStyle w:val="ListParagraph"/>
        <w:numPr>
          <w:ilvl w:val="0"/>
          <w:numId w:val="10"/>
        </w:numPr>
        <w:spacing w:after="100"/>
      </w:pPr>
      <w:r>
        <w:rPr>
          <w:sz w:val="21"/>
          <w:szCs w:val="21"/>
        </w:rPr>
        <w:t xml:space="preserve">developing and introducing civil protection, preparedness and emergency action plans;</w:t>
      </w:r>
    </w:p>
    <w:p>
      <w:pPr>
        <w:pStyle w:val="ListParagraph"/>
        <w:numPr>
          <w:ilvl w:val="0"/>
          <w:numId w:val="10"/>
        </w:numPr>
        <w:spacing w:after="100"/>
      </w:pPr>
      <w:r>
        <w:rPr>
          <w:sz w:val="21"/>
          <w:szCs w:val="21"/>
        </w:rPr>
        <w:t xml:space="preserve">building the preparedness capacity of governing bodies, city services, and forces and resources to respond to emergencies and carry out recovery work;</w:t>
      </w:r>
    </w:p>
    <w:p>
      <w:pPr>
        <w:pStyle w:val="ListParagraph"/>
        <w:numPr>
          <w:ilvl w:val="0"/>
          <w:numId w:val="10"/>
        </w:numPr>
        <w:spacing w:after="100"/>
      </w:pPr>
      <w:r>
        <w:rPr>
          <w:sz w:val="21"/>
          <w:szCs w:val="21"/>
        </w:rPr>
        <w:t xml:space="preserve">training and upgrading the qualifications of specialists for action in the prevention and elimination of the consequences of emergencies.</w:t>
      </w:r>
    </w:p>
    <w:p>
      <w:pPr>
        <w:spacing w:after="60"/>
        <w:jc w:val="left"/>
      </w:pPr>
      <w:r>
        <w:rPr>
          <w:b/>
          <w:bCs/>
          <w:i w:val="false"/>
          <w:iCs w:val="false"/>
          <w:sz w:val="22"/>
          <w:szCs w:val="22"/>
        </w:rPr>
        <w:t xml:space="preserve">Objective 6. Developing a culture of public safety.</w:t>
      </w:r>
    </w:p>
    <w:p>
      <w:pPr>
        <w:spacing w:after="100"/>
        <w:jc w:val="left"/>
      </w:pPr>
      <w:r>
        <w:rPr>
          <w:b w:val="false"/>
          <w:bCs w:val="false"/>
          <w:i w:val="false"/>
          <w:iCs w:val="false"/>
          <w:sz w:val="22"/>
          <w:szCs w:val="22"/>
        </w:rPr>
        <w:t xml:space="preserve">Priority areas for implementation:</w:t>
      </w:r>
    </w:p>
    <w:p>
      <w:pPr>
        <w:pStyle w:val="ListParagraph"/>
        <w:numPr>
          <w:ilvl w:val="0"/>
          <w:numId w:val="11"/>
        </w:numPr>
        <w:spacing w:after="100"/>
      </w:pPr>
      <w:r>
        <w:rPr>
          <w:sz w:val="21"/>
          <w:szCs w:val="21"/>
        </w:rPr>
        <w:t xml:space="preserve">improving public training in actions to be taken in the event of a threat or occurrence of an emergency;</w:t>
      </w:r>
    </w:p>
    <w:p>
      <w:pPr>
        <w:pStyle w:val="ListParagraph"/>
        <w:numPr>
          <w:ilvl w:val="0"/>
          <w:numId w:val="11"/>
        </w:numPr>
        <w:spacing w:after="100"/>
      </w:pPr>
      <w:r>
        <w:rPr>
          <w:sz w:val="21"/>
          <w:szCs w:val="21"/>
        </w:rPr>
        <w:t xml:space="preserve">building the knowledge, skills and practical abilities needed to preserve life and health;</w:t>
      </w:r>
    </w:p>
    <w:p>
      <w:pPr>
        <w:pStyle w:val="ListParagraph"/>
        <w:numPr>
          <w:ilvl w:val="0"/>
          <w:numId w:val="11"/>
        </w:numPr>
        <w:spacing w:after="100"/>
      </w:pPr>
      <w:r>
        <w:rPr>
          <w:sz w:val="21"/>
          <w:szCs w:val="21"/>
        </w:rPr>
        <w:t xml:space="preserve">training the population in climate change adaptation measures and practical actions that reduce their vulnerability to natural, man-made and environmental disaster risks;</w:t>
      </w:r>
    </w:p>
    <w:p>
      <w:pPr>
        <w:pStyle w:val="ListParagraph"/>
        <w:numPr>
          <w:ilvl w:val="0"/>
          <w:numId w:val="11"/>
        </w:numPr>
        <w:spacing w:after="100"/>
      </w:pPr>
      <w:r>
        <w:rPr>
          <w:sz w:val="21"/>
          <w:szCs w:val="21"/>
        </w:rPr>
        <w:t xml:space="preserve">expanding inclusiveness and the mandatory participation of the population in urban planning and decision making, taking into account gender aspects and the age, social and other identity factors of different population groups.</w:t>
      </w:r>
    </w:p>
    <w:p>
      <w:pPr>
        <w:spacing w:after="60"/>
        <w:jc w:val="left"/>
      </w:pPr>
      <w:r>
        <w:rPr>
          <w:b/>
          <w:bCs/>
          <w:i w:val="false"/>
          <w:iCs w:val="false"/>
          <w:sz w:val="22"/>
          <w:szCs w:val="22"/>
        </w:rPr>
        <w:t xml:space="preserve">Objective 7. Strengthening regional cooperation and global partnership.</w:t>
      </w:r>
    </w:p>
    <w:p>
      <w:pPr>
        <w:spacing w:after="100"/>
        <w:jc w:val="left"/>
      </w:pPr>
      <w:r>
        <w:rPr>
          <w:b w:val="false"/>
          <w:bCs w:val="false"/>
          <w:i w:val="false"/>
          <w:iCs w:val="false"/>
          <w:sz w:val="22"/>
          <w:szCs w:val="22"/>
        </w:rPr>
        <w:t xml:space="preserve">Priority areas for implementation:</w:t>
      </w:r>
    </w:p>
    <w:p>
      <w:pPr>
        <w:pStyle w:val="ListParagraph"/>
        <w:numPr>
          <w:ilvl w:val="0"/>
          <w:numId w:val="12"/>
        </w:numPr>
        <w:spacing w:after="100"/>
      </w:pPr>
      <w:r>
        <w:rPr>
          <w:sz w:val="21"/>
          <w:szCs w:val="21"/>
        </w:rPr>
        <w:t xml:space="preserve">expanding regional cooperation and consolidating joint actions and efforts, including within the network of partner cities and sister cities, the “Coalition of Resilient Cities of Central Asia,” the global initiative “Making Cities Resilient 2030,” “Smart Cities” and others;</w:t>
      </w:r>
    </w:p>
    <w:p>
      <w:pPr>
        <w:pStyle w:val="ListParagraph"/>
        <w:numPr>
          <w:ilvl w:val="0"/>
          <w:numId w:val="12"/>
        </w:numPr>
        <w:spacing w:after="100"/>
      </w:pPr>
      <w:r>
        <w:rPr>
          <w:sz w:val="21"/>
          <w:szCs w:val="21"/>
        </w:rPr>
        <w:t xml:space="preserve">deepening partnership with international and non governmental organizations and research and educational institutions;</w:t>
      </w:r>
    </w:p>
    <w:p>
      <w:pPr>
        <w:pStyle w:val="ListParagraph"/>
        <w:numPr>
          <w:ilvl w:val="0"/>
          <w:numId w:val="12"/>
        </w:numPr>
        <w:spacing w:after="100"/>
      </w:pPr>
      <w:r>
        <w:rPr>
          <w:sz w:val="21"/>
          <w:szCs w:val="21"/>
        </w:rPr>
        <w:t xml:space="preserve">exchanging knowledge and data, best practices, innovative solutions and international experience, in the field of disaster risk reduction and sustainable urban development, including with leading international organizations such as partners from Japan.</w:t>
      </w:r>
    </w:p>
    <w:p>
      <w:pPr>
        <w:spacing w:after="60"/>
        <w:jc w:val="left"/>
      </w:pPr>
      <w:r>
        <w:rPr>
          <w:b/>
          <w:bCs/>
          <w:i w:val="false"/>
          <w:iCs w:val="false"/>
          <w:sz w:val="22"/>
          <w:szCs w:val="22"/>
        </w:rPr>
        <w:t xml:space="preserve">Objective 8. Attracting investment and financial support.</w:t>
      </w:r>
    </w:p>
    <w:p>
      <w:pPr>
        <w:spacing w:after="100"/>
        <w:jc w:val="left"/>
      </w:pPr>
      <w:r>
        <w:rPr>
          <w:b w:val="false"/>
          <w:bCs w:val="false"/>
          <w:i w:val="false"/>
          <w:iCs w:val="false"/>
          <w:sz w:val="22"/>
          <w:szCs w:val="22"/>
        </w:rPr>
        <w:t xml:space="preserve">Priority areas for implementation:</w:t>
      </w:r>
    </w:p>
    <w:p>
      <w:pPr>
        <w:pStyle w:val="ListParagraph"/>
        <w:numPr>
          <w:ilvl w:val="0"/>
          <w:numId w:val="13"/>
        </w:numPr>
        <w:spacing w:after="100"/>
      </w:pPr>
      <w:r>
        <w:rPr>
          <w:sz w:val="21"/>
          <w:szCs w:val="21"/>
        </w:rPr>
        <w:t xml:space="preserve">attracting public, private and international investment, and initiating, developing and implementing programmes and projects;</w:t>
      </w:r>
    </w:p>
    <w:p>
      <w:pPr>
        <w:pStyle w:val="ListParagraph"/>
        <w:numPr>
          <w:ilvl w:val="0"/>
          <w:numId w:val="13"/>
        </w:numPr>
        <w:spacing w:after="100"/>
      </w:pPr>
      <w:r>
        <w:rPr>
          <w:sz w:val="21"/>
          <w:szCs w:val="21"/>
        </w:rPr>
        <w:t xml:space="preserve">developing priority, investment ready projects for strengthening resilience and promoting them among potential investors and development partners;</w:t>
      </w:r>
    </w:p>
    <w:p>
      <w:pPr>
        <w:pStyle w:val="ListParagraph"/>
        <w:numPr>
          <w:ilvl w:val="0"/>
          <w:numId w:val="13"/>
        </w:numPr>
        <w:spacing w:after="100"/>
      </w:pPr>
      <w:r>
        <w:rPr>
          <w:sz w:val="21"/>
          <w:szCs w:val="21"/>
        </w:rPr>
        <w:t xml:space="preserve">introducing financial protection and insurance mechanisms against natural, man-made, environmental and biosocial disaster risks that give rise to differences in property ownership rights among different population groups;</w:t>
      </w:r>
    </w:p>
    <w:p>
      <w:pPr>
        <w:pStyle w:val="ListParagraph"/>
        <w:numPr>
          <w:ilvl w:val="0"/>
          <w:numId w:val="13"/>
        </w:numPr>
        <w:spacing w:after="100"/>
      </w:pPr>
      <w:r>
        <w:rPr>
          <w:sz w:val="21"/>
          <w:szCs w:val="21"/>
        </w:rPr>
        <w:t xml:space="preserve">developing and introducing economic and social incentives, and technical and financial support for the population, organizations and the business sector investing in increasing city resilience.</w:t>
      </w:r>
    </w:p>
    <w:p>
      <w:pPr>
        <w:spacing w:after="160" w:before="260"/>
      </w:pPr>
      <w:r>
        <w:rPr>
          <w:b/>
          <w:bCs/>
          <w:sz w:val="24"/>
          <w:szCs w:val="24"/>
        </w:rPr>
        <w:t xml:space="preserve">Part 7. Implementation and Financing Mechanisms</w:t>
      </w:r>
    </w:p>
    <w:p>
      <w:pPr>
        <w:spacing w:after="120"/>
        <w:jc w:val="left"/>
      </w:pPr>
      <w:r>
        <w:rPr>
          <w:b w:val="false"/>
          <w:bCs w:val="false"/>
          <w:i w:val="false"/>
          <w:iCs w:val="false"/>
          <w:sz w:val="22"/>
          <w:szCs w:val="22"/>
        </w:rPr>
        <w:t xml:space="preserve">This Concept is implemented on the basis of the following implementation mechanisms:</w:t>
      </w:r>
    </w:p>
    <w:p>
      <w:pPr>
        <w:pStyle w:val="ListParagraph"/>
        <w:numPr>
          <w:ilvl w:val="0"/>
          <w:numId w:val="14"/>
        </w:numPr>
        <w:spacing w:after="100"/>
      </w:pPr>
      <w:r>
        <w:rPr>
          <w:sz w:val="21"/>
          <w:szCs w:val="21"/>
        </w:rPr>
        <w:t xml:space="preserve">national legislation, strategies, concepts, programmes, plans and other regulatory legal acts that regulate and provide for measures in the field of ensuring the resilience of cities to disaster risks and climate change, preventing and eliminating the consequences of emergencies, adapting to climate change, achieving the Sustainable Development Goals and other matters;</w:t>
      </w:r>
    </w:p>
    <w:p>
      <w:pPr>
        <w:pStyle w:val="ListParagraph"/>
        <w:numPr>
          <w:ilvl w:val="0"/>
          <w:numId w:val="14"/>
        </w:numPr>
        <w:spacing w:after="100"/>
      </w:pPr>
      <w:r>
        <w:rPr>
          <w:sz w:val="21"/>
          <w:szCs w:val="21"/>
        </w:rPr>
        <w:t xml:space="preserve">global, regional and other targeted strategies, concepts, initiatives, programmes, plans and projects in the field of increasing the resilience of cities to disaster risks and climate change, implemented by the Central Asian countries with the technical and financial support of donor agencies, international and other development partner organizations.</w:t>
      </w:r>
    </w:p>
    <w:p>
      <w:pPr>
        <w:spacing w:after="120"/>
        <w:jc w:val="left"/>
      </w:pPr>
      <w:r>
        <w:rPr>
          <w:b w:val="false"/>
          <w:bCs w:val="false"/>
          <w:i w:val="false"/>
          <w:iCs w:val="false"/>
          <w:sz w:val="22"/>
          <w:szCs w:val="22"/>
        </w:rPr>
        <w:t xml:space="preserve">Financial support for the implementation of the Concept is provided from:</w:t>
      </w:r>
    </w:p>
    <w:p>
      <w:pPr>
        <w:pStyle w:val="ListParagraph"/>
        <w:numPr>
          <w:ilvl w:val="0"/>
          <w:numId w:val="15"/>
        </w:numPr>
        <w:spacing w:after="100"/>
      </w:pPr>
      <w:r>
        <w:rPr>
          <w:sz w:val="21"/>
          <w:szCs w:val="21"/>
        </w:rPr>
        <w:t xml:space="preserve">state and local (city) budgets, national development funds, environmental, investment and other funds;</w:t>
      </w:r>
    </w:p>
    <w:p>
      <w:pPr>
        <w:pStyle w:val="ListParagraph"/>
        <w:numPr>
          <w:ilvl w:val="0"/>
          <w:numId w:val="15"/>
        </w:numPr>
        <w:spacing w:after="100"/>
      </w:pPr>
      <w:r>
        <w:rPr>
          <w:sz w:val="21"/>
          <w:szCs w:val="21"/>
        </w:rPr>
        <w:t xml:space="preserve">investments from international financial institutions and development banks, and the private sector, within the framework of public-private partnership mechanisms;</w:t>
      </w:r>
    </w:p>
    <w:p>
      <w:pPr>
        <w:pStyle w:val="ListParagraph"/>
        <w:numPr>
          <w:ilvl w:val="0"/>
          <w:numId w:val="15"/>
        </w:numPr>
        <w:spacing w:after="100"/>
      </w:pPr>
      <w:r>
        <w:rPr>
          <w:sz w:val="21"/>
          <w:szCs w:val="21"/>
        </w:rPr>
        <w:t xml:space="preserve">grants, and technical, financial and humanitarian assistance from international organizations, donors and other development partner organizations;</w:t>
      </w:r>
    </w:p>
    <w:p>
      <w:pPr>
        <w:pStyle w:val="ListParagraph"/>
        <w:numPr>
          <w:ilvl w:val="0"/>
          <w:numId w:val="15"/>
        </w:numPr>
        <w:spacing w:after="100"/>
      </w:pPr>
      <w:r>
        <w:rPr>
          <w:sz w:val="21"/>
          <w:szCs w:val="21"/>
        </w:rPr>
        <w:t xml:space="preserve">climate financing, including international climate funds and other sources provided for by national legislation.</w:t>
      </w:r>
    </w:p>
    <w:sectPr>
      <w:pgSz w:w="11906" w:h="16838"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50" w:hanging="320"/>
      </w:pPr>
    </w:lvl>
  </w:abstractNum>
  <w:abstractNum w:abstractNumId="3" w15:restartNumberingAfterBreak="0">
    <w:multiLevelType w:val="hybridMultilevel"/>
    <w:lvl w:ilvl="0" w15:tentative="1">
      <w:start w:val="1"/>
      <w:numFmt w:val="decimal"/>
      <w:lvlText w:val="%1."/>
      <w:lvlJc w:val="start"/>
      <w:pPr>
        <w:ind w:left="550" w:hanging="320"/>
      </w:pPr>
    </w:lvl>
  </w:abstractNum>
  <w:abstractNum w:abstractNumId="4" w15:restartNumberingAfterBreak="0">
    <w:multiLevelType w:val="hybridMultilevel"/>
    <w:lvl w:ilvl="0" w15:tentative="1">
      <w:start w:val="1"/>
      <w:numFmt w:val="decimal"/>
      <w:lvlText w:val="%1."/>
      <w:lvlJc w:val="start"/>
      <w:pPr>
        <w:ind w:left="550" w:hanging="320"/>
      </w:pPr>
    </w:lvl>
  </w:abstractNum>
  <w:abstractNum w:abstractNumId="5" w15:restartNumberingAfterBreak="0">
    <w:multiLevelType w:val="hybridMultilevel"/>
    <w:lvl w:ilvl="0" w15:tentative="1">
      <w:start w:val="1"/>
      <w:numFmt w:val="decimal"/>
      <w:lvlText w:val="%1."/>
      <w:lvlJc w:val="start"/>
      <w:pPr>
        <w:ind w:left="550" w:hanging="320"/>
      </w:pPr>
    </w:lvl>
  </w:abstractNum>
  <w:abstractNum w:abstractNumId="6" w15:restartNumberingAfterBreak="0">
    <w:multiLevelType w:val="hybridMultilevel"/>
    <w:lvl w:ilvl="0" w15:tentative="1">
      <w:start w:val="1"/>
      <w:numFmt w:val="decimal"/>
      <w:lvlText w:val="%1."/>
      <w:lvlJc w:val="start"/>
      <w:pPr>
        <w:ind w:left="550" w:hanging="320"/>
      </w:pPr>
    </w:lvl>
  </w:abstractNum>
  <w:abstractNum w:abstractNumId="7" w15:restartNumberingAfterBreak="0">
    <w:multiLevelType w:val="hybridMultilevel"/>
    <w:lvl w:ilvl="0" w15:tentative="1">
      <w:start w:val="1"/>
      <w:numFmt w:val="decimal"/>
      <w:lvlText w:val="%1."/>
      <w:lvlJc w:val="start"/>
      <w:pPr>
        <w:ind w:left="550" w:hanging="320"/>
      </w:pPr>
    </w:lvl>
  </w:abstractNum>
  <w:abstractNum w:abstractNumId="8" w15:restartNumberingAfterBreak="0">
    <w:multiLevelType w:val="hybridMultilevel"/>
    <w:lvl w:ilvl="0" w15:tentative="1">
      <w:start w:val="1"/>
      <w:numFmt w:val="decimal"/>
      <w:lvlText w:val="%1."/>
      <w:lvlJc w:val="start"/>
      <w:pPr>
        <w:ind w:left="550" w:hanging="320"/>
      </w:pPr>
    </w:lvl>
  </w:abstractNum>
  <w:abstractNum w:abstractNumId="9" w15:restartNumberingAfterBreak="0">
    <w:multiLevelType w:val="hybridMultilevel"/>
    <w:lvl w:ilvl="0" w15:tentative="1">
      <w:start w:val="1"/>
      <w:numFmt w:val="decimal"/>
      <w:lvlText w:val="%1."/>
      <w:lvlJc w:val="start"/>
      <w:pPr>
        <w:ind w:left="550" w:hanging="320"/>
      </w:pPr>
    </w:lvl>
  </w:abstractNum>
  <w:abstractNum w:abstractNumId="10" w15:restartNumberingAfterBreak="0">
    <w:multiLevelType w:val="hybridMultilevel"/>
    <w:lvl w:ilvl="0" w15:tentative="1">
      <w:start w:val="1"/>
      <w:numFmt w:val="decimal"/>
      <w:lvlText w:val="%1."/>
      <w:lvlJc w:val="start"/>
      <w:pPr>
        <w:ind w:left="550" w:hanging="320"/>
      </w:pPr>
    </w:lvl>
  </w:abstractNum>
  <w:abstractNum w:abstractNumId="11" w15:restartNumberingAfterBreak="0">
    <w:multiLevelType w:val="hybridMultilevel"/>
    <w:lvl w:ilvl="0" w15:tentative="1">
      <w:start w:val="1"/>
      <w:numFmt w:val="decimal"/>
      <w:lvlText w:val="%1."/>
      <w:lvlJc w:val="start"/>
      <w:pPr>
        <w:ind w:left="550" w:hanging="320"/>
      </w:pPr>
    </w:lvl>
  </w:abstractNum>
  <w:abstractNum w:abstractNumId="12" w15:restartNumberingAfterBreak="0">
    <w:multiLevelType w:val="hybridMultilevel"/>
    <w:lvl w:ilvl="0" w15:tentative="1">
      <w:start w:val="1"/>
      <w:numFmt w:val="decimal"/>
      <w:lvlText w:val="%1."/>
      <w:lvlJc w:val="start"/>
      <w:pPr>
        <w:ind w:left="550" w:hanging="320"/>
      </w:pPr>
    </w:lvl>
  </w:abstractNum>
  <w:abstractNum w:abstractNumId="13" w15:restartNumberingAfterBreak="0">
    <w:multiLevelType w:val="hybridMultilevel"/>
    <w:lvl w:ilvl="0" w15:tentative="1">
      <w:start w:val="1"/>
      <w:numFmt w:val="decimal"/>
      <w:lvlText w:val="%1."/>
      <w:lvlJc w:val="start"/>
      <w:pPr>
        <w:ind w:left="550" w:hanging="320"/>
      </w:pPr>
    </w:lvl>
  </w:abstractNum>
  <w:abstractNum w:abstractNumId="14" w15:restartNumberingAfterBreak="0">
    <w:multiLevelType w:val="hybridMultilevel"/>
    <w:lvl w:ilvl="0" w15:tentative="1">
      <w:start w:val="1"/>
      <w:numFmt w:val="decimal"/>
      <w:lvlText w:val="%1."/>
      <w:lvlJc w:val="start"/>
      <w:pPr>
        <w:ind w:left="550" w:hanging="320"/>
      </w:pPr>
    </w:lvl>
  </w:abstractNum>
  <w:abstractNum w:abstractNumId="15" w15:restartNumberingAfterBreak="0">
    <w:multiLevelType w:val="hybridMultilevel"/>
    <w:lvl w:ilvl="0" w15:tentative="1">
      <w:start w:val="1"/>
      <w:numFmt w:val="decimal"/>
      <w:lvlText w:val="%1."/>
      <w:lvlJc w:val="start"/>
      <w:pPr>
        <w:ind w:left="550" w:hanging="32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 w:numId="7">
    <w:abstractNumId w:val="7"/>
    <w:lvlOverride w:ilvl="0">
      <w:startOverride w:val="1"/>
    </w:lvlOverride>
  </w:num>
  <w:num w:numId="8">
    <w:abstractNumId w:val="8"/>
    <w:lvlOverride w:ilvl="0">
      <w:startOverride w:val="1"/>
    </w:lvlOverride>
  </w:num>
  <w:num w:numId="9">
    <w:abstractNumId w:val="9"/>
    <w:lvlOverride w:ilvl="0">
      <w:startOverride w:val="1"/>
    </w:lvlOverride>
  </w:num>
  <w:num w:numId="10">
    <w:abstractNumId w:val="10"/>
    <w:lvlOverride w:ilvl="0">
      <w:startOverride w:val="1"/>
    </w:lvlOverride>
  </w:num>
  <w:num w:numId="11">
    <w:abstractNumId w:val="11"/>
    <w:lvlOverride w:ilvl="0">
      <w:startOverride w:val="1"/>
    </w:lvlOverride>
  </w:num>
  <w:num w:numId="12">
    <w:abstractNumId w:val="12"/>
    <w:lvlOverride w:ilvl="0">
      <w:startOverride w:val="1"/>
    </w:lvlOverride>
  </w:num>
  <w:num w:numId="13">
    <w:abstractNumId w:val="13"/>
    <w:lvlOverride w:ilvl="0">
      <w:startOverride w:val="1"/>
    </w:lvlOverride>
  </w:num>
  <w:num w:numId="14">
    <w:abstractNumId w:val="14"/>
    <w:lvlOverride w:ilvl="0">
      <w:startOverride w:val="1"/>
    </w:lvlOverride>
  </w:num>
  <w:num w:numId="15">
    <w:abstractNumId w:val="1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2026-09-18T06:36:42.474Z</dcterms:created>
  <dcterms:modified xsi:type="dcterms:W3CDTF">2026-09-18T06:36:42.474Z</dcterms:modified>
</cp:coreProperties>
</file>

<file path=docProps/custom.xml><?xml version="1.0" encoding="utf-8"?>
<Properties xmlns="http://schemas.openxmlformats.org/officeDocument/2006/custom-properties" xmlns:vt="http://schemas.openxmlformats.org/officeDocument/2006/docPropsVTypes"/>
</file>